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F64B" w14:textId="7CE03CC6" w:rsidR="005C7681" w:rsidRDefault="005C7681" w:rsidP="005C7681">
      <w:pPr>
        <w:sectPr w:rsidR="005C7681" w:rsidSect="00811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725FB35A" w14:textId="573E1FAF" w:rsidR="00C51AE2" w:rsidRPr="009D7601" w:rsidRDefault="006877E8" w:rsidP="00405548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Az új generációs XD és </w:t>
      </w:r>
      <w:r w:rsidR="00F40341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új mércét állított fel az iparágban. </w:t>
      </w:r>
    </w:p>
    <w:p w14:paraId="5C708AA4" w14:textId="7F579AA2" w:rsidR="00A13663" w:rsidRPr="00405548" w:rsidRDefault="00A13663" w:rsidP="006877E8">
      <w:pPr>
        <w:rPr>
          <w:rFonts w:ascii="Arial" w:hAnsi="Arial" w:cs="Arial"/>
          <w:iCs/>
          <w:sz w:val="30"/>
          <w:szCs w:val="30"/>
        </w:rPr>
      </w:pPr>
      <w:r>
        <w:rPr>
          <w:rFonts w:ascii="Arial" w:hAnsi="Arial"/>
          <w:b/>
          <w:sz w:val="30"/>
        </w:rPr>
        <w:t xml:space="preserve">A DAF megnyitja a kereskedelmi és áruterítő fuvarozás jövőjének kapuit </w:t>
      </w:r>
    </w:p>
    <w:p w14:paraId="648394A9" w14:textId="77777777" w:rsidR="00652D5E" w:rsidRPr="0011482D" w:rsidRDefault="00652D5E" w:rsidP="00652D5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16F57F6" w14:textId="4217BA33" w:rsidR="00217277" w:rsidRPr="009D7601" w:rsidRDefault="00217277" w:rsidP="002172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A DAF a legmodernebb kereskedelmi és áruterítő tehergépkocsik teljesen új választékát mutatja be a hannoveri IAA Transportation 2022 kiállításon. Az új generációs XD és </w:t>
      </w:r>
      <w:r w:rsidR="00F40341">
        <w:rPr>
          <w:rFonts w:ascii="Arial" w:hAnsi="Arial"/>
          <w:b/>
          <w:sz w:val="24"/>
        </w:rPr>
        <w:t>XDC</w:t>
      </w:r>
      <w:r>
        <w:rPr>
          <w:rFonts w:ascii="Arial" w:hAnsi="Arial"/>
          <w:b/>
          <w:sz w:val="24"/>
        </w:rPr>
        <w:t xml:space="preserve"> sorozat új iparági mércét állít fel a minőség, a biztonság, a hatékonyság és a járművezető</w:t>
      </w:r>
      <w:r w:rsidR="00FD7F52"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z w:val="24"/>
        </w:rPr>
        <w:t xml:space="preserve"> kényele</w:t>
      </w:r>
      <w:r w:rsidR="00FD7F52">
        <w:rPr>
          <w:rFonts w:ascii="Arial" w:hAnsi="Arial"/>
          <w:b/>
          <w:sz w:val="24"/>
        </w:rPr>
        <w:t>m</w:t>
      </w:r>
      <w:r>
        <w:rPr>
          <w:rFonts w:ascii="Arial" w:hAnsi="Arial"/>
          <w:b/>
          <w:sz w:val="24"/>
        </w:rPr>
        <w:t xml:space="preserve"> terén. A gyártás idén ősszel kezdődik, 2023-ban pedig a „zéró károsanyag-kibocsátású” akkumulátoros elektromos változatok következnek.</w:t>
      </w:r>
      <w:r>
        <w:rPr>
          <w:rFonts w:ascii="Arial" w:hAnsi="Arial"/>
          <w:b/>
          <w:sz w:val="24"/>
        </w:rPr>
        <w:br/>
      </w:r>
    </w:p>
    <w:p w14:paraId="008EC9B8" w14:textId="308140AA" w:rsidR="00DA5412" w:rsidRPr="009D7601" w:rsidRDefault="00DA5412" w:rsidP="00121E1F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Az iparágvezető DAF XF, XG és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r w:rsidR="00FD7F52">
        <w:rPr>
          <w:rFonts w:ascii="Arial" w:hAnsi="Arial"/>
          <w:sz w:val="24"/>
        </w:rPr>
        <w:t>alapjai</w:t>
      </w:r>
      <w:r>
        <w:rPr>
          <w:rFonts w:ascii="Arial" w:hAnsi="Arial"/>
          <w:sz w:val="24"/>
        </w:rPr>
        <w:t xml:space="preserve"> már a kereskedelmi és áruterítő szegmensben is megjelen</w:t>
      </w:r>
      <w:r w:rsidR="00FD7F52">
        <w:rPr>
          <w:rFonts w:ascii="Arial" w:hAnsi="Arial"/>
          <w:sz w:val="24"/>
        </w:rPr>
        <w:t>ne</w:t>
      </w:r>
      <w:r>
        <w:rPr>
          <w:rFonts w:ascii="Arial" w:hAnsi="Arial"/>
          <w:sz w:val="24"/>
        </w:rPr>
        <w:t>k</w:t>
      </w:r>
    </w:p>
    <w:p w14:paraId="2B08B89E" w14:textId="23305A7D" w:rsidR="00B46110" w:rsidRPr="009D7601" w:rsidRDefault="00DA5E3B" w:rsidP="00121E1F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</w:t>
      </w:r>
      <w:r w:rsidR="00B46110">
        <w:rPr>
          <w:rFonts w:ascii="Arial" w:hAnsi="Arial"/>
          <w:sz w:val="24"/>
        </w:rPr>
        <w:t>okoldalúság</w:t>
      </w:r>
    </w:p>
    <w:p w14:paraId="2EB3EEB3" w14:textId="292E4F1A" w:rsidR="00B46110" w:rsidRPr="009D7601" w:rsidRDefault="005F778B" w:rsidP="00B46110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Az XD és </w:t>
      </w:r>
      <w:r w:rsidR="00F40341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típusok teljes választéka az ügyféligények maradéktalan kielégítésére</w:t>
      </w:r>
    </w:p>
    <w:p w14:paraId="07867E1A" w14:textId="5F5398F0" w:rsidR="00B46110" w:rsidRDefault="005F778B" w:rsidP="00B46110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Új </w:t>
      </w:r>
      <w:r w:rsidR="00F40341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járművek kereskedelmi és építőipari alkalmazásokhoz</w:t>
      </w:r>
    </w:p>
    <w:p w14:paraId="5CF6C76C" w14:textId="18B041CF" w:rsidR="00C64B45" w:rsidRDefault="00C64B45" w:rsidP="00C64B45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Egyedi külső kialakítás robusztus lökhárítóval és hűtőráccsal</w:t>
      </w:r>
    </w:p>
    <w:p w14:paraId="3CD94EDB" w14:textId="2F6E334B" w:rsidR="00C64B45" w:rsidRPr="009D7601" w:rsidRDefault="00C64B45" w:rsidP="00C64B45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Nagy</w:t>
      </w:r>
      <w:r w:rsidRPr="00FA430E">
        <w:rPr>
          <w:rFonts w:ascii="Arial" w:hAnsi="Arial"/>
          <w:sz w:val="24"/>
        </w:rPr>
        <w:t xml:space="preserve"> </w:t>
      </w:r>
      <w:r w:rsidR="00FA430E" w:rsidRPr="00FA430E">
        <w:rPr>
          <w:rFonts w:ascii="Arial" w:hAnsi="Arial"/>
          <w:sz w:val="24"/>
        </w:rPr>
        <w:t>terep</w:t>
      </w:r>
      <w:r w:rsidRPr="00FA430E">
        <w:rPr>
          <w:rFonts w:ascii="Arial" w:hAnsi="Arial"/>
          <w:sz w:val="24"/>
        </w:rPr>
        <w:t xml:space="preserve">szög </w:t>
      </w:r>
      <w:r>
        <w:rPr>
          <w:rFonts w:ascii="Arial" w:hAnsi="Arial"/>
          <w:sz w:val="24"/>
        </w:rPr>
        <w:t>és nagy hasmagasság</w:t>
      </w:r>
    </w:p>
    <w:p w14:paraId="5639F117" w14:textId="620E1DDB" w:rsidR="00121E1F" w:rsidRPr="009D7601" w:rsidRDefault="00121E1F" w:rsidP="00121E1F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Új szabvány a biztonságban</w:t>
      </w:r>
    </w:p>
    <w:p w14:paraId="529C4076" w14:textId="4DA3417C" w:rsidR="00121E1F" w:rsidRPr="009D7601" w:rsidRDefault="008962EE" w:rsidP="00121E1F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Nagyméretű szélvédő és oldalablakok alacsony övvonallal</w:t>
      </w:r>
    </w:p>
    <w:p w14:paraId="77D816AD" w14:textId="49E81E71" w:rsidR="008962EE" w:rsidRPr="009D7601" w:rsidRDefault="008962EE" w:rsidP="00121E1F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Alacsony helyzetű vezetőfülke</w:t>
      </w:r>
    </w:p>
    <w:p w14:paraId="68E4A00D" w14:textId="0968CBA7" w:rsidR="008962EE" w:rsidRPr="009D7601" w:rsidRDefault="008962EE" w:rsidP="00121E1F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Új „Vision” műszerfal</w:t>
      </w:r>
    </w:p>
    <w:p w14:paraId="36B6CB3C" w14:textId="3E9C7ED1" w:rsidR="008962EE" w:rsidRPr="009D7601" w:rsidRDefault="008962EE" w:rsidP="00121E1F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Járdára néző ablak és felhajtható váltósofőrülés</w:t>
      </w:r>
    </w:p>
    <w:p w14:paraId="7EF78CE9" w14:textId="05578D59" w:rsidR="008962EE" w:rsidRPr="009D7601" w:rsidRDefault="008962EE" w:rsidP="00121E1F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DAF </w:t>
      </w:r>
      <w:r w:rsidR="00DA5E3B">
        <w:rPr>
          <w:rFonts w:ascii="Arial" w:hAnsi="Arial"/>
          <w:sz w:val="24"/>
        </w:rPr>
        <w:t>Digital Vision System</w:t>
      </w:r>
      <w:r>
        <w:rPr>
          <w:rFonts w:ascii="Arial" w:hAnsi="Arial"/>
          <w:sz w:val="24"/>
        </w:rPr>
        <w:t>, DAF Corner View, DAF City Turn Assist</w:t>
      </w:r>
    </w:p>
    <w:p w14:paraId="07847AC8" w14:textId="00AE7DD2" w:rsidR="00121E1F" w:rsidRPr="009D7601" w:rsidRDefault="00121E1F" w:rsidP="00121E1F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Új szabvány a hatékonyságban</w:t>
      </w:r>
    </w:p>
    <w:p w14:paraId="411DA46D" w14:textId="4A63E7EC" w:rsidR="008962EE" w:rsidRPr="009D7601" w:rsidRDefault="008962EE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Iparágvezető aerodinamika</w:t>
      </w:r>
    </w:p>
    <w:p w14:paraId="75C5312E" w14:textId="44810806" w:rsidR="008962EE" w:rsidRPr="009D7601" w:rsidRDefault="008962EE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Új PACCAR MX-11 motor (220 kW/300 LE – 330 kW/450 LE)</w:t>
      </w:r>
    </w:p>
    <w:p w14:paraId="3871D2F6" w14:textId="09BC8D20" w:rsidR="008962EE" w:rsidRPr="009D7601" w:rsidRDefault="008962EE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Új TraXon automat</w:t>
      </w:r>
      <w:r w:rsidR="00DA5E3B">
        <w:rPr>
          <w:rFonts w:ascii="Arial" w:hAnsi="Arial"/>
          <w:sz w:val="24"/>
        </w:rPr>
        <w:t>izált</w:t>
      </w:r>
      <w:r>
        <w:rPr>
          <w:rFonts w:ascii="Arial" w:hAnsi="Arial"/>
          <w:sz w:val="24"/>
        </w:rPr>
        <w:t xml:space="preserve"> sebességváltó alapfelszereltségként</w:t>
      </w:r>
    </w:p>
    <w:p w14:paraId="22256914" w14:textId="4E3BEAFC" w:rsidR="008962EE" w:rsidRPr="009D7601" w:rsidRDefault="008962EE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>Kiváló felépítményezhetőség</w:t>
      </w:r>
    </w:p>
    <w:p w14:paraId="26D7088D" w14:textId="693F6512" w:rsidR="00121E1F" w:rsidRPr="009D7601" w:rsidRDefault="00121E1F" w:rsidP="00121E1F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Új szabvány a járművezetői kényelemben</w:t>
      </w:r>
    </w:p>
    <w:p w14:paraId="401555F4" w14:textId="73CBFD4E" w:rsidR="008962EE" w:rsidRPr="009D7601" w:rsidRDefault="00B46110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K</w:t>
      </w:r>
      <w:r w:rsidR="00DA5E3B">
        <w:rPr>
          <w:rFonts w:ascii="Arial" w:hAnsi="Arial"/>
          <w:sz w:val="24"/>
        </w:rPr>
        <w:t>önnyen megközelíthető</w:t>
      </w:r>
      <w:r>
        <w:rPr>
          <w:rFonts w:ascii="Arial" w:hAnsi="Arial"/>
          <w:sz w:val="24"/>
        </w:rPr>
        <w:t xml:space="preserve"> </w:t>
      </w:r>
      <w:r w:rsidR="00DA5E3B">
        <w:rPr>
          <w:rFonts w:ascii="Arial" w:hAnsi="Arial"/>
          <w:sz w:val="24"/>
        </w:rPr>
        <w:t>f</w:t>
      </w:r>
      <w:r>
        <w:rPr>
          <w:rFonts w:ascii="Arial" w:hAnsi="Arial"/>
          <w:sz w:val="24"/>
        </w:rPr>
        <w:t>ülke</w:t>
      </w:r>
    </w:p>
    <w:p w14:paraId="3078B423" w14:textId="7D568468" w:rsidR="00B46110" w:rsidRPr="009D7601" w:rsidRDefault="00B46110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Egyedi ülés- és kormányoszlop-beállítási tartományok</w:t>
      </w:r>
    </w:p>
    <w:p w14:paraId="7B22827D" w14:textId="275FE07C" w:rsidR="00B46110" w:rsidRPr="009D7601" w:rsidRDefault="00B46110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Tágas Day, Sleeper és Sleeper High fülkék</w:t>
      </w:r>
    </w:p>
    <w:p w14:paraId="2433AE12" w14:textId="73C18AA0" w:rsidR="00B46110" w:rsidRPr="009D7601" w:rsidRDefault="00B46110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Teljesen digitális műszerfal</w:t>
      </w:r>
      <w:r w:rsidR="00DA5E3B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testre szabható kijelzőkkel</w:t>
      </w:r>
    </w:p>
    <w:p w14:paraId="7D4D4059" w14:textId="5E363B4B" w:rsidR="00B46110" w:rsidRPr="009D7601" w:rsidRDefault="00B46110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Kiemelkedően kényelmes fekvőhely</w:t>
      </w:r>
    </w:p>
    <w:p w14:paraId="618D98E4" w14:textId="21DC2A21" w:rsidR="00B46110" w:rsidRPr="009D7601" w:rsidRDefault="00B46110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Kiváló vezethetőség és kezelhetőség</w:t>
      </w:r>
    </w:p>
    <w:p w14:paraId="0C52896B" w14:textId="2C7B3FD0" w:rsidR="00121E1F" w:rsidRPr="009D7601" w:rsidRDefault="00121E1F" w:rsidP="00121E1F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Teljesen felkészülve a jövőre</w:t>
      </w:r>
    </w:p>
    <w:p w14:paraId="43463C18" w14:textId="3600A022" w:rsidR="00121E1F" w:rsidRPr="009D7601" w:rsidRDefault="00121E1F" w:rsidP="00E44D67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Akkumulátoros elektromos változatok elektromotorok és akkumulátorcsomagok széles választékával</w:t>
      </w:r>
    </w:p>
    <w:p w14:paraId="04632731" w14:textId="1A4F9E31" w:rsidR="00E44D67" w:rsidRPr="009D7601" w:rsidRDefault="00C23415" w:rsidP="00E44D67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Teljesítmények 170 kW-tól (230 LE) egészen 330 kW-ig (480 LE) </w:t>
      </w:r>
    </w:p>
    <w:p w14:paraId="6AE32A37" w14:textId="6EC8E9BB" w:rsidR="00E44D67" w:rsidRPr="009D7601" w:rsidRDefault="00C23415" w:rsidP="00E44D67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Rendkívül hatékony akkumulátorcsomagok 2, 3, 4 vagy 5 </w:t>
      </w:r>
      <w:r w:rsidR="00DA5E3B">
        <w:rPr>
          <w:rFonts w:ascii="Arial" w:hAnsi="Arial"/>
          <w:sz w:val="24"/>
        </w:rPr>
        <w:t>modullal</w:t>
      </w:r>
    </w:p>
    <w:p w14:paraId="6E48193C" w14:textId="7B7484C1" w:rsidR="00B46110" w:rsidRPr="009D7601" w:rsidRDefault="00121E1F" w:rsidP="00B46110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Egyetlen töltéssel 200 és több mint 500 kilométer közötti „zéró károsanyag-kibocsátású” hatótávolság</w:t>
      </w:r>
    </w:p>
    <w:p w14:paraId="0AA384F8" w14:textId="2A7601D3" w:rsidR="00E44D67" w:rsidRPr="009D7601" w:rsidRDefault="00E44D67" w:rsidP="00755063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gyártás 2022 őszén kezdődik</w:t>
      </w:r>
    </w:p>
    <w:p w14:paraId="43307EA9" w14:textId="77777777" w:rsidR="00755063" w:rsidRPr="009D7601" w:rsidRDefault="00755063" w:rsidP="00755063">
      <w:pPr>
        <w:spacing w:line="360" w:lineRule="auto"/>
        <w:ind w:left="720"/>
        <w:rPr>
          <w:rFonts w:ascii="Arial" w:hAnsi="Arial"/>
          <w:sz w:val="24"/>
          <w:szCs w:val="24"/>
          <w:lang w:val="en-GB" w:eastAsia="en-GB" w:bidi="en-GB"/>
        </w:rPr>
      </w:pPr>
    </w:p>
    <w:p w14:paraId="341721E1" w14:textId="339018DF" w:rsidR="00217277" w:rsidRDefault="00217277" w:rsidP="002172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 kereskedelmi és áruterítő alkalmazásokhoz szánt új generációs DAF XD és </w:t>
      </w:r>
      <w:r w:rsidR="00F40341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tehergépkocsik a 2022-es év nemzetközi tehergépkocsijának megválasztott, többszörös díjnyertes XF, XG és XG</w:t>
      </w:r>
      <w:r>
        <w:rPr>
          <w:rFonts w:ascii="Cambria Math" w:hAnsi="Cambria Math"/>
          <w:sz w:val="24"/>
        </w:rPr>
        <w:t xml:space="preserve">⁺ </w:t>
      </w:r>
      <w:r>
        <w:rPr>
          <w:rFonts w:ascii="Arial" w:hAnsi="Arial"/>
          <w:sz w:val="24"/>
        </w:rPr>
        <w:t xml:space="preserve"> távolsági tehergépkocsik </w:t>
      </w:r>
      <w:r w:rsidR="00DA5E3B">
        <w:rPr>
          <w:rFonts w:ascii="Arial" w:hAnsi="Arial"/>
          <w:sz w:val="24"/>
        </w:rPr>
        <w:t>alapjait</w:t>
      </w:r>
      <w:r>
        <w:rPr>
          <w:rFonts w:ascii="Arial" w:hAnsi="Arial"/>
          <w:sz w:val="24"/>
        </w:rPr>
        <w:t xml:space="preserve"> hordozzák. A prémium kategóriájú tulajdonságok, többek között az optimális aerodinamika, a rendkívül hatékony hajtásláncok, a kiváló üléshelyzet, valamint az első osztályú illesztés és felületkezelés már a kereskedelmi és áruterítési szegmensben is élvezhetők. </w:t>
      </w:r>
    </w:p>
    <w:p w14:paraId="5CF73CE9" w14:textId="13E89C2D" w:rsidR="00C64B45" w:rsidRPr="0011482D" w:rsidRDefault="00C64B45" w:rsidP="00217277">
      <w:pPr>
        <w:spacing w:line="360" w:lineRule="auto"/>
        <w:rPr>
          <w:rFonts w:ascii="Arial" w:hAnsi="Arial" w:cs="Arial"/>
          <w:sz w:val="24"/>
          <w:szCs w:val="24"/>
        </w:rPr>
      </w:pPr>
    </w:p>
    <w:p w14:paraId="45C37FDF" w14:textId="1B73F0F6" w:rsidR="00D3206B" w:rsidRDefault="00D3206B" w:rsidP="002172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 kivételesen sokoldalú új, iparágvezető XD és </w:t>
      </w:r>
      <w:r w:rsidR="00F40341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a tengelykonfigurációk, a hajtáslánc konfigurációk és rendkívül kényelmes fülkeváltozatok széles választékát kínálja. </w:t>
      </w:r>
    </w:p>
    <w:p w14:paraId="35B7A379" w14:textId="77777777" w:rsidR="00D3206B" w:rsidRPr="0011482D" w:rsidRDefault="00D3206B" w:rsidP="00217277">
      <w:pPr>
        <w:spacing w:line="360" w:lineRule="auto"/>
        <w:rPr>
          <w:rFonts w:ascii="Arial" w:hAnsi="Arial" w:cs="Arial"/>
          <w:sz w:val="24"/>
          <w:szCs w:val="24"/>
        </w:rPr>
      </w:pPr>
    </w:p>
    <w:p w14:paraId="2BE723D3" w14:textId="0F6F5D01" w:rsidR="005B3254" w:rsidRPr="009D7601" w:rsidRDefault="00D3206B" w:rsidP="005235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 kereskedelmi és építőipari alkalmazásokhoz szánt 2, 3 és 4 tengelyes </w:t>
      </w:r>
      <w:r w:rsidR="00F40341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</w:t>
      </w:r>
      <w:r w:rsidR="002B638A">
        <w:rPr>
          <w:rFonts w:ascii="Arial" w:hAnsi="Arial"/>
          <w:sz w:val="24"/>
        </w:rPr>
        <w:t>szimpla</w:t>
      </w:r>
      <w:r>
        <w:rPr>
          <w:rFonts w:ascii="Arial" w:hAnsi="Arial"/>
          <w:sz w:val="24"/>
        </w:rPr>
        <w:t xml:space="preserve"> vagy dupla </w:t>
      </w:r>
      <w:r w:rsidR="002B638A">
        <w:rPr>
          <w:rFonts w:ascii="Arial" w:hAnsi="Arial"/>
          <w:sz w:val="24"/>
        </w:rPr>
        <w:t xml:space="preserve">tengely </w:t>
      </w:r>
      <w:r>
        <w:rPr>
          <w:rFonts w:ascii="Arial" w:hAnsi="Arial"/>
          <w:sz w:val="24"/>
        </w:rPr>
        <w:t xml:space="preserve">meghajtással lesz kapható, és kivitelének köszönhetően a legnehezebb feladatokkal is meg fog birkózni, még a legmostohább körülmények </w:t>
      </w:r>
      <w:r>
        <w:rPr>
          <w:rFonts w:ascii="Arial" w:hAnsi="Arial"/>
          <w:sz w:val="24"/>
        </w:rPr>
        <w:lastRenderedPageBreak/>
        <w:t xml:space="preserve">között is. A nagy </w:t>
      </w:r>
      <w:r w:rsidR="00FA430E" w:rsidRPr="00FA430E">
        <w:rPr>
          <w:rFonts w:ascii="Arial" w:hAnsi="Arial"/>
          <w:sz w:val="24"/>
        </w:rPr>
        <w:t>terep</w:t>
      </w:r>
      <w:r w:rsidRPr="00FA430E">
        <w:rPr>
          <w:rFonts w:ascii="Arial" w:hAnsi="Arial"/>
          <w:sz w:val="24"/>
        </w:rPr>
        <w:t xml:space="preserve">szöggel </w:t>
      </w:r>
      <w:r>
        <w:rPr>
          <w:rFonts w:ascii="Arial" w:hAnsi="Arial"/>
          <w:sz w:val="24"/>
        </w:rPr>
        <w:t>(25</w:t>
      </w:r>
      <w:r>
        <w:rPr>
          <w:rFonts w:ascii="Arial" w:hAnsi="Arial"/>
          <w:sz w:val="24"/>
          <w:vertAlign w:val="superscript"/>
        </w:rPr>
        <w:t>o</w:t>
      </w:r>
      <w:r>
        <w:rPr>
          <w:rFonts w:ascii="Arial" w:hAnsi="Arial"/>
          <w:sz w:val="24"/>
        </w:rPr>
        <w:t>) és nagy hasmagassággal (33–39 cm) rendelkező, egyedi külső formatervezésű, masszív tehergépkocsi robusztus lökhárítóval és hűtőráccsal, valamint acél hűtővédő lemezzel van felszerelve. A TraXon automat</w:t>
      </w:r>
      <w:r w:rsidR="002B638A">
        <w:rPr>
          <w:rFonts w:ascii="Arial" w:hAnsi="Arial"/>
          <w:sz w:val="24"/>
        </w:rPr>
        <w:t>izált</w:t>
      </w:r>
      <w:r>
        <w:rPr>
          <w:rFonts w:ascii="Arial" w:hAnsi="Arial"/>
          <w:sz w:val="24"/>
        </w:rPr>
        <w:t xml:space="preserve"> sebességváltó speciális szoftverbeállításokkal támogatja a kiváló vezetési </w:t>
      </w:r>
      <w:r w:rsidR="002B638A">
        <w:rPr>
          <w:rFonts w:ascii="Arial" w:hAnsi="Arial"/>
          <w:sz w:val="24"/>
        </w:rPr>
        <w:t>élményt</w:t>
      </w:r>
      <w:r>
        <w:rPr>
          <w:rFonts w:ascii="Arial" w:hAnsi="Arial"/>
          <w:sz w:val="24"/>
        </w:rPr>
        <w:t xml:space="preserve"> közúton és terepen egyaránt.</w:t>
      </w:r>
    </w:p>
    <w:p w14:paraId="1A7C745E" w14:textId="77777777" w:rsidR="006877E8" w:rsidRPr="0011482D" w:rsidRDefault="006877E8" w:rsidP="006877E8">
      <w:pPr>
        <w:pStyle w:val="Body"/>
        <w:bidi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C21D916" w14:textId="3C9D27B1" w:rsidR="00452B2B" w:rsidRPr="009D7601" w:rsidRDefault="00452B2B" w:rsidP="006877E8">
      <w:pPr>
        <w:pStyle w:val="Body"/>
        <w:bidi/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Új szabvány a biztonságban</w:t>
      </w:r>
    </w:p>
    <w:p w14:paraId="7C5102BA" w14:textId="10AB1DD5" w:rsidR="00DE11C6" w:rsidRPr="009D7601" w:rsidRDefault="00DE11C6" w:rsidP="006877E8">
      <w:pPr>
        <w:pStyle w:val="Body"/>
        <w:bidi/>
        <w:spacing w:line="360" w:lineRule="auto"/>
        <w:jc w:val="right"/>
        <w:rPr>
          <w:rFonts w:ascii="Arial" w:hAnsi="Arial" w:cs="Arial"/>
          <w:bCs/>
          <w:sz w:val="24"/>
        </w:rPr>
      </w:pPr>
      <w:r>
        <w:rPr>
          <w:rFonts w:ascii="Arial" w:hAnsi="Arial"/>
          <w:sz w:val="24"/>
        </w:rPr>
        <w:t xml:space="preserve">Az új generációs DAF XD és </w:t>
      </w:r>
      <w:r w:rsidR="00F40341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esztétikus formatervezését nagyméretű szélvédő, nagy oldalablakok és rendkívül alacsony övvonal jellemzi a kategóriaelső közvetlen látótér biztosítása érdekében. Ez az új XF-nél 17 cm-rel alacsony</w:t>
      </w:r>
      <w:r w:rsidR="002B638A">
        <w:rPr>
          <w:rFonts w:ascii="Arial" w:hAnsi="Arial"/>
          <w:sz w:val="24"/>
        </w:rPr>
        <w:t>abb</w:t>
      </w:r>
      <w:r>
        <w:rPr>
          <w:rFonts w:ascii="Arial" w:hAnsi="Arial"/>
          <w:sz w:val="24"/>
        </w:rPr>
        <w:t xml:space="preserve"> </w:t>
      </w:r>
      <w:r w:rsidR="002B638A">
        <w:rPr>
          <w:rFonts w:ascii="Arial" w:hAnsi="Arial"/>
          <w:sz w:val="24"/>
        </w:rPr>
        <w:t>felfüggesztésű</w:t>
      </w:r>
      <w:r>
        <w:rPr>
          <w:rFonts w:ascii="Arial" w:hAnsi="Arial"/>
          <w:sz w:val="24"/>
        </w:rPr>
        <w:t xml:space="preserve"> vezetőfülkével és az új, a váltósofőr oldalán kontúros kivitelű „Vision” műszerfallal párosul. </w:t>
      </w:r>
      <w:r w:rsidRPr="00FA430E">
        <w:rPr>
          <w:rFonts w:ascii="Arial" w:hAnsi="Arial"/>
          <w:color w:val="auto"/>
          <w:sz w:val="24"/>
        </w:rPr>
        <w:t>Opcióként járdára néző ablak is</w:t>
      </w:r>
      <w:r>
        <w:rPr>
          <w:rFonts w:ascii="Arial" w:hAnsi="Arial"/>
          <w:sz w:val="24"/>
        </w:rPr>
        <w:t xml:space="preserve"> elérhető, amely a felhajtható váltósofőrüléssel együtt akadálytalan rálátást nyújt a tehergépkocsi váltósofőr oldala mellett </w:t>
      </w:r>
      <w:r w:rsidR="002B638A">
        <w:rPr>
          <w:rFonts w:ascii="Arial" w:hAnsi="Arial"/>
          <w:sz w:val="24"/>
        </w:rPr>
        <w:t>közlekedő</w:t>
      </w:r>
      <w:r>
        <w:rPr>
          <w:rFonts w:ascii="Arial" w:hAnsi="Arial"/>
          <w:sz w:val="24"/>
        </w:rPr>
        <w:t xml:space="preserve"> gyalogosokra és kerékpárosokra.</w:t>
      </w:r>
    </w:p>
    <w:p w14:paraId="4EE4091D" w14:textId="27DECB21" w:rsidR="00CE2B9E" w:rsidRPr="009D7601" w:rsidRDefault="002F3263" w:rsidP="00CE2B9E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 kategóriavezető közvetett látótért kialakítása érdekében az új generációs DAF XD és </w:t>
      </w:r>
      <w:r w:rsidR="00F40341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</w:t>
      </w:r>
      <w:r w:rsidR="002B638A">
        <w:rPr>
          <w:rFonts w:ascii="Arial" w:hAnsi="Arial"/>
          <w:sz w:val="24"/>
        </w:rPr>
        <w:t xml:space="preserve">típusoknál a </w:t>
      </w:r>
      <w:r>
        <w:rPr>
          <w:rFonts w:ascii="Arial" w:hAnsi="Arial"/>
          <w:sz w:val="24"/>
        </w:rPr>
        <w:t xml:space="preserve">DAF </w:t>
      </w:r>
      <w:r w:rsidR="002B638A">
        <w:rPr>
          <w:rFonts w:ascii="Arial" w:hAnsi="Arial"/>
          <w:sz w:val="24"/>
        </w:rPr>
        <w:t>Digital Vision System</w:t>
      </w:r>
      <w:r>
        <w:rPr>
          <w:rFonts w:ascii="Arial" w:hAnsi="Arial"/>
          <w:sz w:val="24"/>
        </w:rPr>
        <w:t xml:space="preserve"> is </w:t>
      </w:r>
      <w:r w:rsidR="002B638A">
        <w:rPr>
          <w:rFonts w:ascii="Arial" w:hAnsi="Arial"/>
          <w:sz w:val="24"/>
        </w:rPr>
        <w:t>elérhető</w:t>
      </w:r>
      <w:r>
        <w:rPr>
          <w:rFonts w:ascii="Arial" w:hAnsi="Arial"/>
          <w:sz w:val="24"/>
        </w:rPr>
        <w:t>, amely a fő tükröt és a nagy látószögű tükröket váltja fel. A kiváló DAF Corner View saroknézet maximális, nem kevesebb mint 285 fokos rálátást biztosít a fülke váltósofőr oldali A oszlopa körüli területre.</w:t>
      </w:r>
    </w:p>
    <w:p w14:paraId="10C2DEE1" w14:textId="74DBB71F" w:rsidR="007E7F76" w:rsidRDefault="007E7F76" w:rsidP="00A73B1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 közúti biztonság további fokozása érdekében a DAF City Turn Assist rendszer vizuális és hallható figyelmeztetésekkel tájékoztatja a járművezetőt, ha a közlekedés más résztvevői, például gyalogosok, kerékpárosok, gépkocsik és motorkerékpárok tartózkodnak a váltósofőr oldali holttérben. </w:t>
      </w:r>
    </w:p>
    <w:p w14:paraId="6ED0D9AD" w14:textId="463E1C44" w:rsidR="00DE11C6" w:rsidRPr="009D7601" w:rsidRDefault="009D1D3B" w:rsidP="00DE11C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Az új generációs DAF XF, XG és XG</w:t>
      </w:r>
      <w:r>
        <w:rPr>
          <w:rFonts w:ascii="Cambria Math" w:hAnsi="Cambria Math"/>
          <w:sz w:val="24"/>
        </w:rPr>
        <w:t>⁺</w:t>
      </w:r>
      <w:r>
        <w:rPr>
          <w:rFonts w:ascii="Arial" w:hAnsi="Arial"/>
          <w:sz w:val="24"/>
        </w:rPr>
        <w:t xml:space="preserve"> járművekhez hasonlóan</w:t>
      </w:r>
      <w:r w:rsidR="002B638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 kereskedelmi és áruterítő alkalmazásokhoz készült új, világszínvonalú járművek is kiváló ergonomikus tulajdonságokkal rendelkeznek</w:t>
      </w:r>
      <w:r w:rsidR="002B638A">
        <w:rPr>
          <w:rFonts w:ascii="Arial" w:hAnsi="Arial"/>
          <w:sz w:val="24"/>
        </w:rPr>
        <w:t>, a</w:t>
      </w:r>
      <w:r>
        <w:rPr>
          <w:rFonts w:ascii="Arial" w:hAnsi="Arial"/>
          <w:sz w:val="24"/>
        </w:rPr>
        <w:t xml:space="preserve"> DAF „kezek a kormányon, szemek az úton” elvének köszönhetően. A vezetéssel kapcsolatos összes funkció a kormánykerékről és a kormányoszlop bajuszkapcsolóiról működtethető. A másodlagos vezetési funkciók a műszerfalon a vezető számára könnyen elérhető helyen, logikusan elhelyezett fizikai kapcsolókkal működtethetők.</w:t>
      </w:r>
    </w:p>
    <w:p w14:paraId="6FCDBA98" w14:textId="502D9FBE" w:rsidR="004D149A" w:rsidRPr="009D7601" w:rsidRDefault="00D431C6" w:rsidP="00DE11C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A maximális biztonság és a lehető legjobb kilátás érdekében a teljesen LED-es külső világítás minden XD és </w:t>
      </w:r>
      <w:r w:rsidR="00F40341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változat esetén az alapfelszereltséghez tartozik. Emellett a fejlett vezetéstámogató rendszerek teljes választéka áll rendelkezésre, beleértve a legújabb generációs AEBS-t, az új kis sebességű pótkocsiféket és a rögzítőfék-rásegítést.</w:t>
      </w:r>
    </w:p>
    <w:p w14:paraId="2066F470" w14:textId="7B739B2F" w:rsidR="002D3B87" w:rsidRPr="009D7601" w:rsidRDefault="00190AF8" w:rsidP="00A110C3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Új szabvány a hatékonyságban 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A kategóriaelső üzemanyag-hatékonyságot és az alacsony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-kibocsátást a fülke kiemelkedő aerodinamikájának köszönhetően érték el, mely tulajdonsággal az új generációs XF, XG és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tehergépkocsik is rendelkeznek. A nagy rádiuszok, az ívelt szélvédő, az optimális </w:t>
      </w:r>
      <w:r w:rsidR="002B638A">
        <w:rPr>
          <w:rFonts w:ascii="Arial" w:hAnsi="Arial"/>
          <w:sz w:val="24"/>
        </w:rPr>
        <w:t>illesztések</w:t>
      </w:r>
      <w:r>
        <w:rPr>
          <w:rFonts w:ascii="Arial" w:hAnsi="Arial"/>
          <w:sz w:val="24"/>
        </w:rPr>
        <w:t xml:space="preserve">, a tükrök helyett alkalmazott digitális kamerák, a tökéletes motor és a fülke alatti légáramlás új etalont teremt az áruterítési és kereskedelmi szegmensben. </w:t>
      </w:r>
    </w:p>
    <w:p w14:paraId="5A5EED9C" w14:textId="4A1F0560" w:rsidR="00525581" w:rsidRPr="009D7601" w:rsidRDefault="009D3085" w:rsidP="005F155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 piacvezető járműhatékonyság eléréséhez az új PACCAR MX-11 motor, a TraXon automat</w:t>
      </w:r>
      <w:r w:rsidR="002B638A">
        <w:rPr>
          <w:rFonts w:ascii="Arial" w:hAnsi="Arial"/>
          <w:sz w:val="24"/>
        </w:rPr>
        <w:t>izált</w:t>
      </w:r>
      <w:r>
        <w:rPr>
          <w:rFonts w:ascii="Arial" w:hAnsi="Arial"/>
          <w:sz w:val="24"/>
        </w:rPr>
        <w:t xml:space="preserve"> sebességváltó, az intelligens kipufogógáz-utókezelő rendszer és a hátsó tengely újításait tartalmazó új hajtáslánc is hozzájárul. A DAF Connect flottakezelő rendszer időt takarít meg a </w:t>
      </w:r>
      <w:r w:rsidR="002B638A">
        <w:rPr>
          <w:rFonts w:ascii="Arial" w:hAnsi="Arial"/>
          <w:sz w:val="24"/>
        </w:rPr>
        <w:t>távoli</w:t>
      </w:r>
      <w:r>
        <w:rPr>
          <w:rFonts w:ascii="Arial" w:hAnsi="Arial"/>
          <w:sz w:val="24"/>
        </w:rPr>
        <w:t xml:space="preserve"> szoftverfrissítéseknek köszönhetően. </w:t>
      </w:r>
    </w:p>
    <w:p w14:paraId="28BC3718" w14:textId="22538BB0" w:rsidR="009D3085" w:rsidRPr="009D7601" w:rsidRDefault="009D1D3B" w:rsidP="005F155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 PTO-k, felépítményrögzítő modulok és </w:t>
      </w:r>
      <w:r w:rsidR="002B638A">
        <w:rPr>
          <w:rFonts w:ascii="Arial" w:hAnsi="Arial"/>
          <w:sz w:val="24"/>
        </w:rPr>
        <w:t>alkalmazás-</w:t>
      </w:r>
      <w:r>
        <w:rPr>
          <w:rFonts w:ascii="Arial" w:hAnsi="Arial"/>
          <w:sz w:val="24"/>
        </w:rPr>
        <w:t>csatlakozók széles választéka megkönnyíti a felépítményezők munkáját, amelyet az optimális hatékonyság elérése érdekében az alváz</w:t>
      </w:r>
      <w:r w:rsidR="002B638A">
        <w:rPr>
          <w:rFonts w:ascii="Arial" w:hAnsi="Arial"/>
          <w:sz w:val="24"/>
        </w:rPr>
        <w:t>komponensek</w:t>
      </w:r>
      <w:r>
        <w:rPr>
          <w:rFonts w:ascii="Arial" w:hAnsi="Arial"/>
          <w:sz w:val="24"/>
        </w:rPr>
        <w:t>, például az EAS, az akkumulátorház és az AdBlue</w:t>
      </w:r>
      <w:r>
        <w:rPr>
          <w:rFonts w:ascii="Arial" w:hAnsi="Arial"/>
          <w:sz w:val="24"/>
          <w:vertAlign w:val="superscript"/>
        </w:rPr>
        <w:t>®</w:t>
      </w:r>
      <w:r>
        <w:rPr>
          <w:rFonts w:ascii="Arial" w:hAnsi="Arial"/>
          <w:sz w:val="24"/>
        </w:rPr>
        <w:t>-tartály, valamint az üzemanyagtartályok rendkívül rugalmas elrendezése is támogat.</w:t>
      </w:r>
    </w:p>
    <w:p w14:paraId="61D31CA8" w14:textId="6109F481" w:rsidR="0002554E" w:rsidRPr="009D7601" w:rsidRDefault="00190AF8" w:rsidP="0002554E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Új szabvány a járművezetői kényelemben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Az új generációs DAF XD és </w:t>
      </w:r>
      <w:r w:rsidR="00F40341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még magasabb szintre emeli a kényelmet a kereskedelmi és áruterítő tehergépkocsik vezetői számára. </w:t>
      </w:r>
    </w:p>
    <w:p w14:paraId="4BEC8D42" w14:textId="57844835" w:rsidR="002D3B87" w:rsidRPr="009D7601" w:rsidRDefault="0002554E" w:rsidP="0002554E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 fülke megközelíthetősége kategóriaelső, mert a legtöbb áruterítő változat esetében mindössze két fellépő lépcső van, a kormánykerék pedig függőleges helyzetbe mozgatható. Az ülések és a kormánykerék beállítási tartománya példátlan, csakúgy, mint a fülke tágassága, amely a Sleeper High Cab esetében akár a 10 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térfogatot is eléri. A Day Cab fülke alapfelszereltségéhez tartozik a megnövelt belső tér, ami a </w:t>
      </w:r>
      <w:r>
        <w:rPr>
          <w:rFonts w:ascii="Arial" w:hAnsi="Arial"/>
          <w:sz w:val="24"/>
        </w:rPr>
        <w:lastRenderedPageBreak/>
        <w:t>lehető legnagyobb kényelmet és első osztályú tárolóhelye</w:t>
      </w:r>
      <w:r w:rsidR="005F56B7">
        <w:rPr>
          <w:rFonts w:ascii="Arial" w:hAnsi="Arial"/>
          <w:sz w:val="24"/>
        </w:rPr>
        <w:t>ke</w:t>
      </w:r>
      <w:r>
        <w:rPr>
          <w:rFonts w:ascii="Arial" w:hAnsi="Arial"/>
          <w:sz w:val="24"/>
        </w:rPr>
        <w:t>t biztosít a járművezető számára. A gyári opciók között egy harmadik ülés vagy egy nagyméretű hűtőszekrény is található.</w:t>
      </w:r>
    </w:p>
    <w:p w14:paraId="4CF3FB9C" w14:textId="54AC48FD" w:rsidR="004D7639" w:rsidRPr="009D7601" w:rsidRDefault="00957617" w:rsidP="004D7639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Az új XD és </w:t>
      </w:r>
      <w:r w:rsidR="00F40341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ugyanazzal a lenyűgöző</w:t>
      </w:r>
      <w:r>
        <w:rPr>
          <w:rFonts w:ascii="Arial" w:hAnsi="Arial"/>
          <w:color w:val="auto"/>
          <w:sz w:val="24"/>
        </w:rPr>
        <w:t xml:space="preserve"> műszerfallal rendelkezik, mint az új generációs XF, XG és XG</w:t>
      </w:r>
      <w:r>
        <w:rPr>
          <w:rFonts w:ascii="Arial" w:hAnsi="Arial"/>
          <w:color w:val="auto"/>
          <w:sz w:val="24"/>
          <w:vertAlign w:val="superscript"/>
        </w:rPr>
        <w:t>+</w:t>
      </w:r>
      <w:r>
        <w:rPr>
          <w:rFonts w:ascii="Arial" w:hAnsi="Arial"/>
          <w:color w:val="auto"/>
          <w:sz w:val="24"/>
        </w:rPr>
        <w:t xml:space="preserve"> tehergépkocsik, beleértve a kristálytiszta és teljesen digitális műszerfalat is. A nagy, 12 hüvelykes kijelző a járművezető igényei szerint testre szabható</w:t>
      </w:r>
      <w:r>
        <w:rPr>
          <w:rFonts w:ascii="Arial" w:hAnsi="Arial"/>
          <w:sz w:val="24"/>
        </w:rPr>
        <w:t xml:space="preserve">. Az opcionális DAF navigációs rendszer és a DAF információs és szórakoztató rendszerei széles választékának működtetéséhez egy rendkívül </w:t>
      </w:r>
      <w:r w:rsidR="008E44A7">
        <w:rPr>
          <w:rFonts w:ascii="Arial" w:hAnsi="Arial"/>
          <w:sz w:val="24"/>
        </w:rPr>
        <w:t>érzékeny</w:t>
      </w:r>
      <w:r>
        <w:rPr>
          <w:rFonts w:ascii="Arial" w:hAnsi="Arial"/>
          <w:sz w:val="24"/>
        </w:rPr>
        <w:t>, 10,1 hüvelykes második érintőképernyő is rendelkezésre áll.</w:t>
      </w:r>
    </w:p>
    <w:p w14:paraId="47087952" w14:textId="6B49474A" w:rsidR="004D7639" w:rsidRPr="009D7601" w:rsidRDefault="00E046C3" w:rsidP="004D41B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 DAF XD és </w:t>
      </w:r>
      <w:r w:rsidR="00F40341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Sleeper és Sleeper High Cab fülkékben a hálóhelyek hossza a kiemelkedően kényelmes alvás érdekében nem kevesebb, mint 2 220 mm, szélessége pedig akár 750 mm. Az új generációs DAF XF, XG és XG</w:t>
      </w:r>
      <w:r>
        <w:rPr>
          <w:rFonts w:ascii="Cambria Math" w:hAnsi="Cambria Math"/>
          <w:sz w:val="24"/>
        </w:rPr>
        <w:t>⁺</w:t>
      </w:r>
      <w:r>
        <w:rPr>
          <w:rFonts w:ascii="Arial" w:hAnsi="Arial"/>
          <w:sz w:val="24"/>
        </w:rPr>
        <w:t xml:space="preserve"> járműveken bevezetett 50 mm vastag fedőmatrac szintén elérhető a tökéletesen kényelmes alváshoz.</w:t>
      </w:r>
    </w:p>
    <w:p w14:paraId="4FD9B3E7" w14:textId="51DB5E05" w:rsidR="00554C1C" w:rsidRDefault="003F3DDA" w:rsidP="00554C1C">
      <w:pPr>
        <w:pStyle w:val="Body"/>
        <w:spacing w:before="240" w:line="360" w:lineRule="auto"/>
        <w:rPr>
          <w:rFonts w:ascii="Arial" w:hAnsi="Arial" w:cs="Arial"/>
          <w:bCs/>
          <w:sz w:val="24"/>
        </w:rPr>
      </w:pPr>
      <w:r>
        <w:rPr>
          <w:rFonts w:ascii="Arial" w:hAnsi="Arial"/>
          <w:sz w:val="24"/>
        </w:rPr>
        <w:t xml:space="preserve">Kiváló vezethetőség és kezelhetőség a teljesen új elülső alvázkialakításnak, az új fülkefelfüggesztésnek és az új hátsó tengelyfelfüggesztésnek köszönhetően. Ennek eredményeként az XD-vel és </w:t>
      </w:r>
      <w:r w:rsidR="00F40341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-vel nemcsak dolgozni és benne lakni egy álom, hanem maga a vezetése is örömteli élmény. </w:t>
      </w:r>
    </w:p>
    <w:p w14:paraId="578E483D" w14:textId="7A1F2FC7" w:rsidR="00C11F01" w:rsidRPr="009D7601" w:rsidRDefault="009D4806" w:rsidP="00C11F01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Teljesen felkészülve a jövőre 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Az új generációs XD-vel a DAF megnyitotta az áruterítés és a kereskedelmi szállítmányozás jövőjének kapuit. Az új generációs XD kivételes színvonalat képvisel a minőség, a biztonság, a hatékonyság és a járművezetői kényelem terén. Ugyanakkor teljesen új járműplatformot jelent, amely készen áll az alternatív hajtásláncok befogadására. 2023-ban az új DAF XD akkumulátoros elektromos hajtásláncokkal is elérhetővé fog válni. Ezek a „zéró károsanyag-kibocsátású” járművek 170 kW (230 LE) – 350 kW (480 LE) teljesítménytartományú elektromotorokkal és </w:t>
      </w:r>
      <w:r w:rsidR="00897498">
        <w:rPr>
          <w:rFonts w:ascii="Arial" w:hAnsi="Arial"/>
          <w:sz w:val="24"/>
        </w:rPr>
        <w:t>az akár</w:t>
      </w:r>
      <w:r>
        <w:rPr>
          <w:rFonts w:ascii="Arial" w:hAnsi="Arial"/>
          <w:sz w:val="24"/>
        </w:rPr>
        <w:t xml:space="preserve"> 525 kWh kapacitású akkumulátorcsomagok széles választékával fognak rendelkezni. Ezek az alkalmazástól függően akár 500 kilométernél is nagyobb teljesen elektromos hatótávolságra lesznek képesek.</w:t>
      </w:r>
    </w:p>
    <w:p w14:paraId="4145DABE" w14:textId="4F4163C6" w:rsidR="00210951" w:rsidRDefault="00957617" w:rsidP="00C11F01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Az új generációs DAF XD és </w:t>
      </w:r>
      <w:r w:rsidR="00F40341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sorozat a lehető legjobb választás a szállítmányozási üzemeltetők és a járművezetők számára egyaránt. A DAF új, kereskedelmi és áruterítő alkalmazásokra szánt tehergépkocsi-sorozata kiemelkedő sokoldalúságot biztosít, és új etalont teremt a minőség, a biztonság, a hatékonyság és a kényelem terén. </w:t>
      </w:r>
    </w:p>
    <w:p w14:paraId="448F5B61" w14:textId="251936A4" w:rsidR="00487CE8" w:rsidRPr="009D7601" w:rsidRDefault="00487CE8" w:rsidP="00C11F01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Az új XD sorozat gyártása 2022 őszén kezdődik el, melyet az építőipari alkalmazások számára készült </w:t>
      </w:r>
      <w:r w:rsidR="00F40341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és a teljesen elektromos XD járművek követnek 2023-ban.</w:t>
      </w:r>
    </w:p>
    <w:p w14:paraId="2657955F" w14:textId="77777777" w:rsidR="00487CE8" w:rsidRDefault="00487CE8" w:rsidP="00210951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</w:p>
    <w:p w14:paraId="06CF9086" w14:textId="1A1BD067" w:rsidR="00C83643" w:rsidRPr="009D7601" w:rsidRDefault="00487CE8" w:rsidP="00210951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Hannover, 2022. szeptember 19. </w:t>
      </w:r>
    </w:p>
    <w:p w14:paraId="63E81934" w14:textId="77777777" w:rsidR="00C83643" w:rsidRPr="00F40341" w:rsidRDefault="00C83643" w:rsidP="00C83643">
      <w:pPr>
        <w:spacing w:line="360" w:lineRule="auto"/>
        <w:rPr>
          <w:rFonts w:ascii="Arial" w:hAnsi="Arial" w:cs="Arial"/>
          <w:sz w:val="24"/>
        </w:rPr>
      </w:pPr>
    </w:p>
    <w:p w14:paraId="5A1BC664" w14:textId="77777777" w:rsidR="00C83643" w:rsidRPr="009D7601" w:rsidRDefault="00C83643" w:rsidP="00C83643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Megjegyzés csak a szerkesztőknek</w:t>
      </w:r>
    </w:p>
    <w:p w14:paraId="7696D6BF" w14:textId="77777777" w:rsidR="00C83643" w:rsidRPr="00F40341" w:rsidRDefault="00C83643" w:rsidP="00C83643">
      <w:pPr>
        <w:rPr>
          <w:rFonts w:ascii="Arial" w:hAnsi="Arial" w:cs="Arial"/>
          <w:sz w:val="24"/>
        </w:rPr>
      </w:pPr>
    </w:p>
    <w:p w14:paraId="13B95739" w14:textId="77777777" w:rsidR="00C83643" w:rsidRPr="009D7601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További információ:</w:t>
      </w:r>
    </w:p>
    <w:p w14:paraId="4853E6AB" w14:textId="77777777" w:rsidR="00C83643" w:rsidRPr="009D7601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55C51A77" w14:textId="77777777" w:rsidR="00C83643" w:rsidRPr="009D7601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Vállalati kommunikációs főosztály</w:t>
      </w:r>
    </w:p>
    <w:p w14:paraId="05953A19" w14:textId="77777777" w:rsidR="00C83643" w:rsidRPr="009D7601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48E29604" w14:textId="77777777" w:rsidR="00F95316" w:rsidRPr="009D7601" w:rsidRDefault="00F40341" w:rsidP="00B8232D">
      <w:pPr>
        <w:spacing w:line="276" w:lineRule="auto"/>
        <w:rPr>
          <w:rFonts w:ascii="Arial" w:hAnsi="Arial"/>
          <w:sz w:val="24"/>
        </w:rPr>
      </w:pPr>
      <w:hyperlink r:id="rId14" w:history="1">
        <w:r w:rsidR="002100F9">
          <w:rPr>
            <w:rStyle w:val="Hyperlink"/>
            <w:rFonts w:ascii="Arial" w:hAnsi="Arial"/>
            <w:sz w:val="24"/>
          </w:rPr>
          <w:t>www.daf.com</w:t>
        </w:r>
      </w:hyperlink>
    </w:p>
    <w:p w14:paraId="37A1F57D" w14:textId="77777777" w:rsidR="00F95316" w:rsidRPr="0011482D" w:rsidRDefault="00F95316" w:rsidP="00C83643">
      <w:pPr>
        <w:spacing w:line="276" w:lineRule="auto"/>
        <w:rPr>
          <w:rFonts w:ascii="Arial" w:hAnsi="Arial" w:cs="Arial"/>
          <w:sz w:val="24"/>
          <w:szCs w:val="24"/>
        </w:rPr>
      </w:pPr>
    </w:p>
    <w:p w14:paraId="5B5394AD" w14:textId="77777777" w:rsidR="00AC6766" w:rsidRPr="00B8232D" w:rsidRDefault="00F95316" w:rsidP="00B8232D">
      <w:pPr>
        <w:spacing w:line="276" w:lineRule="auto"/>
        <w:rPr>
          <w:rFonts w:ascii="Arial" w:hAnsi="Arial" w:cs="Arial"/>
          <w:i/>
          <w:sz w:val="12"/>
          <w:szCs w:val="24"/>
        </w:rPr>
      </w:pPr>
      <w:r>
        <w:rPr>
          <w:rFonts w:ascii="Arial" w:hAnsi="Arial"/>
          <w:i/>
          <w:sz w:val="12"/>
        </w:rPr>
        <w:t xml:space="preserve">Ha a továbbiakban nem kíván sajtóközleményeket kapni a DAF Trucks N.V. vállalattól, akkor kérjük, jelentse ezt a következő címre: Saskia van Zijtveld, </w:t>
      </w:r>
      <w:hyperlink r:id="rId15" w:history="1">
        <w:r>
          <w:rPr>
            <w:rStyle w:val="Hyperlink"/>
            <w:rFonts w:ascii="Arial" w:hAnsi="Arial"/>
            <w:i/>
            <w:sz w:val="12"/>
          </w:rPr>
          <w:t>saskia.van.zijtveld@daftrucks.com</w:t>
        </w:r>
      </w:hyperlink>
    </w:p>
    <w:sectPr w:rsidR="00AC6766" w:rsidRPr="00B8232D" w:rsidSect="004A72C6">
      <w:headerReference w:type="default" r:id="rId16"/>
      <w:type w:val="continuous"/>
      <w:pgSz w:w="11907" w:h="16840" w:code="9"/>
      <w:pgMar w:top="2377" w:right="1417" w:bottom="1276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AAE9" w14:textId="77777777" w:rsidR="009B16A9" w:rsidRDefault="009B16A9">
      <w:r>
        <w:separator/>
      </w:r>
    </w:p>
  </w:endnote>
  <w:endnote w:type="continuationSeparator" w:id="0">
    <w:p w14:paraId="5D40D458" w14:textId="77777777" w:rsidR="009B16A9" w:rsidRDefault="009B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EC33" w14:textId="77777777" w:rsidR="00E86F30" w:rsidRDefault="00E86F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A1D7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79FF" w14:textId="77777777" w:rsidR="00E86F30" w:rsidRDefault="00E86F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BD70" w14:textId="77777777" w:rsidR="009B16A9" w:rsidRDefault="009B16A9">
      <w:r>
        <w:separator/>
      </w:r>
    </w:p>
  </w:footnote>
  <w:footnote w:type="continuationSeparator" w:id="0">
    <w:p w14:paraId="2D6E2AAF" w14:textId="77777777" w:rsidR="009B16A9" w:rsidRDefault="009B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7A8C" w14:textId="77777777" w:rsidR="00E86F30" w:rsidRDefault="00E86F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2F74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0AF82D91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961ED02" wp14:editId="4CCE4AF4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E027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b/swEAAFUDAAAOAAAAZHJzL2Uyb0RvYy54bWysU01v2zAMvQ/YfxB0X5wEy9oZcXpI1126&#10;LUC7H8BIsi1UEgVRiZ1/P0lxsm67DfVBkPjx+PhIr+9Ga9hRBdLoGr6YzTlTTqDUrmv4z+eHD7ec&#10;UQQnwaBTDT8p4neb9+/Wg6/VEns0UgWWQBzVg294H6Ovq4pEryzQDL1yydlisBDTM3SVDDAkdGuq&#10;5Xz+qRowSB9QKKJkvT87+abgt60S8UfbkorMNDxxi+UM5dzns9qsoe4C+F6LiQb8BwsL2qWiV6h7&#10;iMAOQf8DZbUISNjGmUBbYdtqoUoPqZvF/K9unnrwqvSSxCF/lYneDlZ8P27dLmTqYnRP/hHFCzGH&#10;2x5cpwqB55NPg1tkqarBU31NyQ/yu8D2wzeUKQYOEYsKYxtshkz9sbGIfbqKrcbIxNkokvXj7erm&#10;ZlXAob7k+UDxq0LL8qXhRrssA9RwfKSYeUB9Cclmhw/amDJK49jQ8M+r5aokEBotszOHUej2WxPY&#10;EfIylG+q+0dYwIOTBaxXIL9M9wjanO+puHEZT5X9mhhdxMibR/Ue5WkXLoql2RXO057l5Xj9Lrr+&#10;/hs2vwAAAP//AwBQSwMEFAAGAAgAAAAhAKoXeuTaAAAACAEAAA8AAABkcnMvZG93bnJldi54bWxM&#10;j0FLw0AQhe+C/2EZwUuxm6ZUJWZTRJubF6vidZodk2B2Ns1u2+iv7ygFPQ2P93jzvXw5uk7taQit&#10;ZwOzaQKKuPK25drA60t5dQsqRGSLnWcy8EUBlsX5WY6Z9Qd+pv061kpKOGRooImxz7QOVUMOw9T3&#10;xOJ9+MFhFDnU2g54kHLX6TRJrrXDluVDgz09NFR9rnfOQCjfaFt+T6pJ8j6vPaXbx6cVGnN5Md7f&#10;gYo0xr8w/OALOhTCtPE7tkF1BhYzmRJPV/xfvZFcerMAXeT6/4DiCAAA//8DAFBLAQItABQABgAI&#10;AAAAIQC2gziS/gAAAOEBAAATAAAAAAAAAAAAAAAAAAAAAABbQ29udGVudF9UeXBlc10ueG1sUEsB&#10;Ai0AFAAGAAgAAAAhADj9If/WAAAAlAEAAAsAAAAAAAAAAAAAAAAALwEAAF9yZWxzLy5yZWxzUEsB&#10;Ai0AFAAGAAgAAAAhAE+FFv+zAQAAVQMAAA4AAAAAAAAAAAAAAAAALgIAAGRycy9lMm9Eb2MueG1s&#10;UEsBAi0AFAAGAAgAAAAhAKoXeuTaAAAACAEAAA8AAAAAAAAAAAAAAAAADQQAAGRycy9kb3ducmV2&#10;LnhtbFBLBQYAAAAABAAEAPMAAAAUBQAAAAA=&#10;" o:allowincell="f">
              <w10:wrap anchorx="page" anchory="page"/>
            </v:line>
          </w:pict>
        </mc:Fallback>
      </mc:AlternateContent>
    </w: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B26F36" w14:textId="77777777" w:rsidTr="0077358E">
      <w:trPr>
        <w:trHeight w:val="1249"/>
      </w:trPr>
      <w:tc>
        <w:tcPr>
          <w:tcW w:w="2553" w:type="dxa"/>
        </w:tcPr>
        <w:p w14:paraId="6DF8BE89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211E5B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2pt;height:54.6pt">
                <v:imagedata r:id="rId1" o:title=""/>
              </v:shape>
              <o:OLEObject Type="Embed" ProgID="PBrush" ShapeID="_x0000_i1025" DrawAspect="Content" ObjectID="_1723910402" r:id="rId2"/>
            </w:object>
          </w:r>
        </w:p>
      </w:tc>
    </w:tr>
    <w:tr w:rsidR="0077358E" w14:paraId="74B95E23" w14:textId="77777777" w:rsidTr="0077358E">
      <w:trPr>
        <w:trHeight w:hRule="exact" w:val="264"/>
      </w:trPr>
      <w:tc>
        <w:tcPr>
          <w:tcW w:w="2553" w:type="dxa"/>
        </w:tcPr>
        <w:p w14:paraId="2A616055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4928EF5B" w14:textId="77777777" w:rsidTr="0077358E">
      <w:trPr>
        <w:trHeight w:hRule="exact" w:val="264"/>
      </w:trPr>
      <w:tc>
        <w:tcPr>
          <w:tcW w:w="2553" w:type="dxa"/>
        </w:tcPr>
        <w:p w14:paraId="065D6CF0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5BFB25AA" w14:textId="77777777" w:rsidTr="0077358E">
      <w:trPr>
        <w:trHeight w:hRule="exact" w:val="264"/>
      </w:trPr>
      <w:tc>
        <w:tcPr>
          <w:tcW w:w="2553" w:type="dxa"/>
        </w:tcPr>
        <w:p w14:paraId="42734A6E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Eindhoven</w:t>
          </w:r>
        </w:p>
      </w:tc>
    </w:tr>
    <w:tr w:rsidR="0077358E" w14:paraId="6AA89C4A" w14:textId="77777777" w:rsidTr="0077358E">
      <w:trPr>
        <w:trHeight w:hRule="exact" w:val="264"/>
      </w:trPr>
      <w:tc>
        <w:tcPr>
          <w:tcW w:w="2553" w:type="dxa"/>
        </w:tcPr>
        <w:p w14:paraId="4CE0E471" w14:textId="77777777" w:rsidR="0077358E" w:rsidRDefault="0077358E" w:rsidP="008F14AD">
          <w:pPr>
            <w:pStyle w:val="KoptekstLogoCompanyAddress"/>
            <w:framePr w:wrap="around"/>
          </w:pPr>
          <w:r>
            <w:t>Tel.: +31 (0) 40 214 21 04</w:t>
          </w:r>
        </w:p>
      </w:tc>
    </w:tr>
    <w:tr w:rsidR="0077358E" w14:paraId="1FF4C0C4" w14:textId="77777777" w:rsidTr="0077358E">
      <w:trPr>
        <w:trHeight w:hRule="exact" w:val="264"/>
      </w:trPr>
      <w:tc>
        <w:tcPr>
          <w:tcW w:w="2553" w:type="dxa"/>
        </w:tcPr>
        <w:p w14:paraId="6180A988" w14:textId="77777777" w:rsidR="0077358E" w:rsidRDefault="0077358E" w:rsidP="008F14AD">
          <w:pPr>
            <w:pStyle w:val="KoptekstLogoCompanyAddress"/>
            <w:framePr w:wrap="around"/>
          </w:pPr>
          <w:r>
            <w:t>Fax: +31 (0) 40 214 43 17</w:t>
          </w:r>
        </w:p>
      </w:tc>
    </w:tr>
    <w:tr w:rsidR="0077358E" w14:paraId="449565E3" w14:textId="77777777" w:rsidTr="0077358E">
      <w:trPr>
        <w:trHeight w:hRule="exact" w:val="264"/>
      </w:trPr>
      <w:tc>
        <w:tcPr>
          <w:tcW w:w="2553" w:type="dxa"/>
        </w:tcPr>
        <w:p w14:paraId="0B93EA6F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6F919946" w14:textId="77777777" w:rsidTr="0077358E">
      <w:trPr>
        <w:trHeight w:hRule="exact" w:val="264"/>
      </w:trPr>
      <w:tc>
        <w:tcPr>
          <w:tcW w:w="2553" w:type="dxa"/>
        </w:tcPr>
        <w:p w14:paraId="32728CD5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24B0621B" wp14:editId="1DB06041">
                <wp:extent cx="1009650" cy="76200"/>
                <wp:effectExtent l="0" t="0" r="0" b="0"/>
                <wp:docPr id="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B200B9" w14:textId="77777777" w:rsidR="0077358E" w:rsidRDefault="007735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7F0A" w14:textId="77777777" w:rsidR="00E86F30" w:rsidRDefault="00E86F30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5CF8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12696B2B" wp14:editId="71410405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7E8"/>
    <w:multiLevelType w:val="hybridMultilevel"/>
    <w:tmpl w:val="5D3407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A6821"/>
    <w:multiLevelType w:val="hybridMultilevel"/>
    <w:tmpl w:val="C92E74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9805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en-US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14A27"/>
    <w:rsid w:val="00014E79"/>
    <w:rsid w:val="0002554E"/>
    <w:rsid w:val="00025EC9"/>
    <w:rsid w:val="00026053"/>
    <w:rsid w:val="0004239E"/>
    <w:rsid w:val="00043D38"/>
    <w:rsid w:val="00045748"/>
    <w:rsid w:val="000462BF"/>
    <w:rsid w:val="000544FF"/>
    <w:rsid w:val="00054C58"/>
    <w:rsid w:val="00054E48"/>
    <w:rsid w:val="000557F1"/>
    <w:rsid w:val="00070003"/>
    <w:rsid w:val="0007014D"/>
    <w:rsid w:val="000764AB"/>
    <w:rsid w:val="000766AD"/>
    <w:rsid w:val="00087EE7"/>
    <w:rsid w:val="000A3CB1"/>
    <w:rsid w:val="000A7652"/>
    <w:rsid w:val="000B0382"/>
    <w:rsid w:val="000B3DDE"/>
    <w:rsid w:val="000C1204"/>
    <w:rsid w:val="000C7CAE"/>
    <w:rsid w:val="000D2C56"/>
    <w:rsid w:val="000D452F"/>
    <w:rsid w:val="000F0B46"/>
    <w:rsid w:val="0010464D"/>
    <w:rsid w:val="00110D7A"/>
    <w:rsid w:val="00111097"/>
    <w:rsid w:val="0011482D"/>
    <w:rsid w:val="00115E1C"/>
    <w:rsid w:val="00120FF0"/>
    <w:rsid w:val="00121976"/>
    <w:rsid w:val="00121E1F"/>
    <w:rsid w:val="00124878"/>
    <w:rsid w:val="001262B3"/>
    <w:rsid w:val="001309C4"/>
    <w:rsid w:val="00134A01"/>
    <w:rsid w:val="00134AA5"/>
    <w:rsid w:val="00134F7C"/>
    <w:rsid w:val="0013548C"/>
    <w:rsid w:val="0014577C"/>
    <w:rsid w:val="001773C4"/>
    <w:rsid w:val="00184503"/>
    <w:rsid w:val="00190AF8"/>
    <w:rsid w:val="001911AB"/>
    <w:rsid w:val="00192169"/>
    <w:rsid w:val="00192178"/>
    <w:rsid w:val="001A36F8"/>
    <w:rsid w:val="001A4347"/>
    <w:rsid w:val="001A52C6"/>
    <w:rsid w:val="001A53B0"/>
    <w:rsid w:val="001A59D9"/>
    <w:rsid w:val="001B1802"/>
    <w:rsid w:val="001C4C00"/>
    <w:rsid w:val="001C60BD"/>
    <w:rsid w:val="001D224F"/>
    <w:rsid w:val="001D5158"/>
    <w:rsid w:val="001E5397"/>
    <w:rsid w:val="001F0C30"/>
    <w:rsid w:val="002023DC"/>
    <w:rsid w:val="0020559E"/>
    <w:rsid w:val="00206230"/>
    <w:rsid w:val="002100F9"/>
    <w:rsid w:val="00210951"/>
    <w:rsid w:val="00212217"/>
    <w:rsid w:val="00217277"/>
    <w:rsid w:val="00236BAF"/>
    <w:rsid w:val="002417B3"/>
    <w:rsid w:val="00242376"/>
    <w:rsid w:val="00244E98"/>
    <w:rsid w:val="00253C3B"/>
    <w:rsid w:val="00256095"/>
    <w:rsid w:val="00256773"/>
    <w:rsid w:val="002657BA"/>
    <w:rsid w:val="002700ED"/>
    <w:rsid w:val="0027266A"/>
    <w:rsid w:val="00272B3D"/>
    <w:rsid w:val="00274633"/>
    <w:rsid w:val="00285635"/>
    <w:rsid w:val="0029090C"/>
    <w:rsid w:val="00294F95"/>
    <w:rsid w:val="002A5BCB"/>
    <w:rsid w:val="002A70BF"/>
    <w:rsid w:val="002A70C6"/>
    <w:rsid w:val="002A7CA0"/>
    <w:rsid w:val="002B1CD5"/>
    <w:rsid w:val="002B5CCF"/>
    <w:rsid w:val="002B638A"/>
    <w:rsid w:val="002B7B25"/>
    <w:rsid w:val="002C6274"/>
    <w:rsid w:val="002C6C55"/>
    <w:rsid w:val="002D3B87"/>
    <w:rsid w:val="002E4195"/>
    <w:rsid w:val="002E5686"/>
    <w:rsid w:val="002E7FF7"/>
    <w:rsid w:val="002F3263"/>
    <w:rsid w:val="002F3328"/>
    <w:rsid w:val="00305CE8"/>
    <w:rsid w:val="00312425"/>
    <w:rsid w:val="00317C7C"/>
    <w:rsid w:val="003215C3"/>
    <w:rsid w:val="0032278B"/>
    <w:rsid w:val="00325708"/>
    <w:rsid w:val="00331E1C"/>
    <w:rsid w:val="0035135D"/>
    <w:rsid w:val="00363753"/>
    <w:rsid w:val="00387440"/>
    <w:rsid w:val="003A05DA"/>
    <w:rsid w:val="003B1C9A"/>
    <w:rsid w:val="003B26BF"/>
    <w:rsid w:val="003C02C0"/>
    <w:rsid w:val="003C27B8"/>
    <w:rsid w:val="003C3CF0"/>
    <w:rsid w:val="003C59AE"/>
    <w:rsid w:val="003D2A42"/>
    <w:rsid w:val="003E12C1"/>
    <w:rsid w:val="003F3DDA"/>
    <w:rsid w:val="003F579F"/>
    <w:rsid w:val="003F5C37"/>
    <w:rsid w:val="00400C4F"/>
    <w:rsid w:val="0040409A"/>
    <w:rsid w:val="00405548"/>
    <w:rsid w:val="004068DA"/>
    <w:rsid w:val="00415828"/>
    <w:rsid w:val="00416032"/>
    <w:rsid w:val="00424904"/>
    <w:rsid w:val="00430DA8"/>
    <w:rsid w:val="00433BA4"/>
    <w:rsid w:val="00446063"/>
    <w:rsid w:val="00447AC9"/>
    <w:rsid w:val="00447DFE"/>
    <w:rsid w:val="00452B2B"/>
    <w:rsid w:val="00454711"/>
    <w:rsid w:val="00464E2C"/>
    <w:rsid w:val="0046694D"/>
    <w:rsid w:val="00484CC8"/>
    <w:rsid w:val="00487CE8"/>
    <w:rsid w:val="00490D22"/>
    <w:rsid w:val="004916DC"/>
    <w:rsid w:val="004943E8"/>
    <w:rsid w:val="00495272"/>
    <w:rsid w:val="004A72C6"/>
    <w:rsid w:val="004B4A0B"/>
    <w:rsid w:val="004C2D6B"/>
    <w:rsid w:val="004C5E4D"/>
    <w:rsid w:val="004D149A"/>
    <w:rsid w:val="004D3A74"/>
    <w:rsid w:val="004D41B5"/>
    <w:rsid w:val="004D7639"/>
    <w:rsid w:val="004E53ED"/>
    <w:rsid w:val="004E7C11"/>
    <w:rsid w:val="004F021B"/>
    <w:rsid w:val="004F798A"/>
    <w:rsid w:val="005111CA"/>
    <w:rsid w:val="00513283"/>
    <w:rsid w:val="005212A0"/>
    <w:rsid w:val="005235FC"/>
    <w:rsid w:val="00524C60"/>
    <w:rsid w:val="00525581"/>
    <w:rsid w:val="00530248"/>
    <w:rsid w:val="00532139"/>
    <w:rsid w:val="0053797E"/>
    <w:rsid w:val="00543C37"/>
    <w:rsid w:val="00544334"/>
    <w:rsid w:val="0054446E"/>
    <w:rsid w:val="00546588"/>
    <w:rsid w:val="00554C1C"/>
    <w:rsid w:val="0055750C"/>
    <w:rsid w:val="00577A05"/>
    <w:rsid w:val="00580286"/>
    <w:rsid w:val="00582751"/>
    <w:rsid w:val="005900B8"/>
    <w:rsid w:val="00597FD9"/>
    <w:rsid w:val="005B3254"/>
    <w:rsid w:val="005C7681"/>
    <w:rsid w:val="005E06DC"/>
    <w:rsid w:val="005E73AB"/>
    <w:rsid w:val="005E781F"/>
    <w:rsid w:val="005F155F"/>
    <w:rsid w:val="005F3921"/>
    <w:rsid w:val="005F56B7"/>
    <w:rsid w:val="005F5AFD"/>
    <w:rsid w:val="005F778B"/>
    <w:rsid w:val="00602C71"/>
    <w:rsid w:val="006036F6"/>
    <w:rsid w:val="00606B2C"/>
    <w:rsid w:val="006147FB"/>
    <w:rsid w:val="006210BF"/>
    <w:rsid w:val="00625F8A"/>
    <w:rsid w:val="0063310C"/>
    <w:rsid w:val="00633CC0"/>
    <w:rsid w:val="00634ECE"/>
    <w:rsid w:val="00635846"/>
    <w:rsid w:val="00637FD0"/>
    <w:rsid w:val="00644CDC"/>
    <w:rsid w:val="00652D5E"/>
    <w:rsid w:val="00671351"/>
    <w:rsid w:val="006856E7"/>
    <w:rsid w:val="006877E8"/>
    <w:rsid w:val="00691CE5"/>
    <w:rsid w:val="0069606B"/>
    <w:rsid w:val="00696E11"/>
    <w:rsid w:val="006A11FF"/>
    <w:rsid w:val="006A4E33"/>
    <w:rsid w:val="006A55F9"/>
    <w:rsid w:val="006B1192"/>
    <w:rsid w:val="006C0497"/>
    <w:rsid w:val="006D5A30"/>
    <w:rsid w:val="006E17E8"/>
    <w:rsid w:val="006E7730"/>
    <w:rsid w:val="006F5AE2"/>
    <w:rsid w:val="00721491"/>
    <w:rsid w:val="00723D65"/>
    <w:rsid w:val="00732B0A"/>
    <w:rsid w:val="0073424C"/>
    <w:rsid w:val="00736444"/>
    <w:rsid w:val="00742E21"/>
    <w:rsid w:val="0074461B"/>
    <w:rsid w:val="0075336D"/>
    <w:rsid w:val="00755063"/>
    <w:rsid w:val="00755D7E"/>
    <w:rsid w:val="0075669B"/>
    <w:rsid w:val="00757A5D"/>
    <w:rsid w:val="007616DC"/>
    <w:rsid w:val="00773239"/>
    <w:rsid w:val="00773321"/>
    <w:rsid w:val="0077358E"/>
    <w:rsid w:val="00773BE8"/>
    <w:rsid w:val="007819ED"/>
    <w:rsid w:val="00784355"/>
    <w:rsid w:val="007A0503"/>
    <w:rsid w:val="007A4939"/>
    <w:rsid w:val="007A54C5"/>
    <w:rsid w:val="007C13FC"/>
    <w:rsid w:val="007C140F"/>
    <w:rsid w:val="007C7137"/>
    <w:rsid w:val="007D2895"/>
    <w:rsid w:val="007E3AC3"/>
    <w:rsid w:val="007E6283"/>
    <w:rsid w:val="007E6869"/>
    <w:rsid w:val="007E7F76"/>
    <w:rsid w:val="007F53E7"/>
    <w:rsid w:val="00801FA9"/>
    <w:rsid w:val="0081103E"/>
    <w:rsid w:val="00813264"/>
    <w:rsid w:val="00814F8D"/>
    <w:rsid w:val="00815A29"/>
    <w:rsid w:val="00816FF0"/>
    <w:rsid w:val="00826C82"/>
    <w:rsid w:val="00833CFC"/>
    <w:rsid w:val="00833E86"/>
    <w:rsid w:val="008535D0"/>
    <w:rsid w:val="00854BE1"/>
    <w:rsid w:val="008620B4"/>
    <w:rsid w:val="00864E77"/>
    <w:rsid w:val="00872EC6"/>
    <w:rsid w:val="008744CE"/>
    <w:rsid w:val="00875BA9"/>
    <w:rsid w:val="00887032"/>
    <w:rsid w:val="008962EE"/>
    <w:rsid w:val="00897498"/>
    <w:rsid w:val="008978DC"/>
    <w:rsid w:val="008A1867"/>
    <w:rsid w:val="008A30C1"/>
    <w:rsid w:val="008A5ED4"/>
    <w:rsid w:val="008B4291"/>
    <w:rsid w:val="008B6A06"/>
    <w:rsid w:val="008C0981"/>
    <w:rsid w:val="008D0A54"/>
    <w:rsid w:val="008D1D03"/>
    <w:rsid w:val="008E34CC"/>
    <w:rsid w:val="008E44A7"/>
    <w:rsid w:val="008E7916"/>
    <w:rsid w:val="008F14AD"/>
    <w:rsid w:val="008F384E"/>
    <w:rsid w:val="008F5454"/>
    <w:rsid w:val="00903708"/>
    <w:rsid w:val="00910FD1"/>
    <w:rsid w:val="00912801"/>
    <w:rsid w:val="00912C07"/>
    <w:rsid w:val="009148B9"/>
    <w:rsid w:val="00917F62"/>
    <w:rsid w:val="00937A8A"/>
    <w:rsid w:val="00944D87"/>
    <w:rsid w:val="00947BD0"/>
    <w:rsid w:val="0095332E"/>
    <w:rsid w:val="0095760C"/>
    <w:rsid w:val="00957617"/>
    <w:rsid w:val="009649A6"/>
    <w:rsid w:val="009762B3"/>
    <w:rsid w:val="009818B0"/>
    <w:rsid w:val="009843D0"/>
    <w:rsid w:val="009943EB"/>
    <w:rsid w:val="009A0890"/>
    <w:rsid w:val="009A0BFA"/>
    <w:rsid w:val="009A7A22"/>
    <w:rsid w:val="009B0A89"/>
    <w:rsid w:val="009B16A9"/>
    <w:rsid w:val="009D1D3B"/>
    <w:rsid w:val="009D3085"/>
    <w:rsid w:val="009D4806"/>
    <w:rsid w:val="009D7144"/>
    <w:rsid w:val="009D7601"/>
    <w:rsid w:val="009E2231"/>
    <w:rsid w:val="009E6BD5"/>
    <w:rsid w:val="009F6709"/>
    <w:rsid w:val="00A02610"/>
    <w:rsid w:val="00A110C3"/>
    <w:rsid w:val="00A13663"/>
    <w:rsid w:val="00A27685"/>
    <w:rsid w:val="00A27CA2"/>
    <w:rsid w:val="00A305C4"/>
    <w:rsid w:val="00A45276"/>
    <w:rsid w:val="00A473A2"/>
    <w:rsid w:val="00A50B44"/>
    <w:rsid w:val="00A50B4E"/>
    <w:rsid w:val="00A54ECF"/>
    <w:rsid w:val="00A5727A"/>
    <w:rsid w:val="00A70D07"/>
    <w:rsid w:val="00A73B16"/>
    <w:rsid w:val="00A9139C"/>
    <w:rsid w:val="00AB31A2"/>
    <w:rsid w:val="00AC0B92"/>
    <w:rsid w:val="00AC58F3"/>
    <w:rsid w:val="00AC61CB"/>
    <w:rsid w:val="00AC6766"/>
    <w:rsid w:val="00AD02A2"/>
    <w:rsid w:val="00AD31FD"/>
    <w:rsid w:val="00AD35AF"/>
    <w:rsid w:val="00AD6EE9"/>
    <w:rsid w:val="00AD78E7"/>
    <w:rsid w:val="00AE2E38"/>
    <w:rsid w:val="00AF16B8"/>
    <w:rsid w:val="00AF3D9B"/>
    <w:rsid w:val="00B03709"/>
    <w:rsid w:val="00B1458D"/>
    <w:rsid w:val="00B1510F"/>
    <w:rsid w:val="00B2269E"/>
    <w:rsid w:val="00B257E4"/>
    <w:rsid w:val="00B32644"/>
    <w:rsid w:val="00B35DF6"/>
    <w:rsid w:val="00B451B4"/>
    <w:rsid w:val="00B46110"/>
    <w:rsid w:val="00B70617"/>
    <w:rsid w:val="00B8232D"/>
    <w:rsid w:val="00B838EF"/>
    <w:rsid w:val="00B93AD2"/>
    <w:rsid w:val="00B979B5"/>
    <w:rsid w:val="00BB6235"/>
    <w:rsid w:val="00BC06EA"/>
    <w:rsid w:val="00BC0BDD"/>
    <w:rsid w:val="00BD71AC"/>
    <w:rsid w:val="00BF2694"/>
    <w:rsid w:val="00C01E22"/>
    <w:rsid w:val="00C0474A"/>
    <w:rsid w:val="00C05A0B"/>
    <w:rsid w:val="00C07873"/>
    <w:rsid w:val="00C11F01"/>
    <w:rsid w:val="00C136B6"/>
    <w:rsid w:val="00C23415"/>
    <w:rsid w:val="00C25503"/>
    <w:rsid w:val="00C33D9C"/>
    <w:rsid w:val="00C356C0"/>
    <w:rsid w:val="00C51AE2"/>
    <w:rsid w:val="00C52C14"/>
    <w:rsid w:val="00C60B3B"/>
    <w:rsid w:val="00C64B45"/>
    <w:rsid w:val="00C65DD0"/>
    <w:rsid w:val="00C74BA0"/>
    <w:rsid w:val="00C80571"/>
    <w:rsid w:val="00C83643"/>
    <w:rsid w:val="00C87ED4"/>
    <w:rsid w:val="00CA3F8F"/>
    <w:rsid w:val="00CA4D7B"/>
    <w:rsid w:val="00CA622D"/>
    <w:rsid w:val="00CA7E03"/>
    <w:rsid w:val="00CB3FD7"/>
    <w:rsid w:val="00CB562F"/>
    <w:rsid w:val="00CC22C7"/>
    <w:rsid w:val="00CD1071"/>
    <w:rsid w:val="00CD17B0"/>
    <w:rsid w:val="00CD5146"/>
    <w:rsid w:val="00CE074F"/>
    <w:rsid w:val="00CE2B9E"/>
    <w:rsid w:val="00D03DBF"/>
    <w:rsid w:val="00D05799"/>
    <w:rsid w:val="00D05C80"/>
    <w:rsid w:val="00D20E4E"/>
    <w:rsid w:val="00D257E6"/>
    <w:rsid w:val="00D3206B"/>
    <w:rsid w:val="00D33E51"/>
    <w:rsid w:val="00D35361"/>
    <w:rsid w:val="00D4072A"/>
    <w:rsid w:val="00D431C6"/>
    <w:rsid w:val="00D46BA1"/>
    <w:rsid w:val="00D54C27"/>
    <w:rsid w:val="00D600FA"/>
    <w:rsid w:val="00D6239D"/>
    <w:rsid w:val="00D70080"/>
    <w:rsid w:val="00D74393"/>
    <w:rsid w:val="00D80BB1"/>
    <w:rsid w:val="00D8236A"/>
    <w:rsid w:val="00D93A14"/>
    <w:rsid w:val="00DA2C06"/>
    <w:rsid w:val="00DA3449"/>
    <w:rsid w:val="00DA5412"/>
    <w:rsid w:val="00DA5E3B"/>
    <w:rsid w:val="00DB01C7"/>
    <w:rsid w:val="00DB0B11"/>
    <w:rsid w:val="00DB3391"/>
    <w:rsid w:val="00DB3E01"/>
    <w:rsid w:val="00DC530E"/>
    <w:rsid w:val="00DD1518"/>
    <w:rsid w:val="00DD2D91"/>
    <w:rsid w:val="00DE11C6"/>
    <w:rsid w:val="00DE51B5"/>
    <w:rsid w:val="00DE590F"/>
    <w:rsid w:val="00DE7DF8"/>
    <w:rsid w:val="00DF3429"/>
    <w:rsid w:val="00E046C3"/>
    <w:rsid w:val="00E271C3"/>
    <w:rsid w:val="00E33DE5"/>
    <w:rsid w:val="00E36BC1"/>
    <w:rsid w:val="00E4468F"/>
    <w:rsid w:val="00E44D67"/>
    <w:rsid w:val="00E4756B"/>
    <w:rsid w:val="00E52773"/>
    <w:rsid w:val="00E63ECA"/>
    <w:rsid w:val="00E813C3"/>
    <w:rsid w:val="00E86F30"/>
    <w:rsid w:val="00EB3329"/>
    <w:rsid w:val="00ED3FBE"/>
    <w:rsid w:val="00ED506D"/>
    <w:rsid w:val="00EF33D2"/>
    <w:rsid w:val="00EF59D3"/>
    <w:rsid w:val="00F07377"/>
    <w:rsid w:val="00F12AD4"/>
    <w:rsid w:val="00F17055"/>
    <w:rsid w:val="00F24755"/>
    <w:rsid w:val="00F3131A"/>
    <w:rsid w:val="00F3249E"/>
    <w:rsid w:val="00F33140"/>
    <w:rsid w:val="00F40341"/>
    <w:rsid w:val="00F43E48"/>
    <w:rsid w:val="00F46490"/>
    <w:rsid w:val="00F53647"/>
    <w:rsid w:val="00F65B5D"/>
    <w:rsid w:val="00F87ABA"/>
    <w:rsid w:val="00F95316"/>
    <w:rsid w:val="00FA2CFC"/>
    <w:rsid w:val="00FA430E"/>
    <w:rsid w:val="00FB0BA9"/>
    <w:rsid w:val="00FC194A"/>
    <w:rsid w:val="00FC755C"/>
    <w:rsid w:val="00FD1B42"/>
    <w:rsid w:val="00FD7F52"/>
    <w:rsid w:val="00FE23D0"/>
    <w:rsid w:val="00FE65BA"/>
    <w:rsid w:val="00FF1B59"/>
    <w:rsid w:val="00FF4650"/>
    <w:rsid w:val="00FF5873"/>
    <w:rsid w:val="00FF5FFC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7CFAF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121976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121976"/>
  </w:style>
  <w:style w:type="character" w:customStyle="1" w:styleId="TekstopmerkingChar">
    <w:name w:val="Tekst opmerking Char"/>
    <w:basedOn w:val="Standaardalinea-lettertype"/>
    <w:link w:val="Tekstopmerking"/>
    <w:semiHidden/>
    <w:rsid w:val="0012197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219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21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askia.van.zijtveld@daftrucks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af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D78A-6D52-42CB-85C4-6CA12522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1321</Words>
  <Characters>8663</Characters>
  <Application>Microsoft Office Word</Application>
  <DocSecurity>0</DocSecurity>
  <Lines>72</Lines>
  <Paragraphs>19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SF</vt:lpstr>
      <vt:lpstr>SF</vt:lpstr>
      <vt:lpstr>SF</vt:lpstr>
    </vt:vector>
  </TitlesOfParts>
  <Company>PR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Rutger Kerstiens</cp:lastModifiedBy>
  <cp:revision>10</cp:revision>
  <cp:lastPrinted>2022-08-01T13:36:00Z</cp:lastPrinted>
  <dcterms:created xsi:type="dcterms:W3CDTF">2022-09-02T11:42:00Z</dcterms:created>
  <dcterms:modified xsi:type="dcterms:W3CDTF">2022-09-05T17:14:00Z</dcterms:modified>
</cp:coreProperties>
</file>